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F16" w:rsidRDefault="002D1F16" w:rsidP="002D1F16">
      <w:pPr>
        <w:jc w:val="center"/>
      </w:pPr>
    </w:p>
    <w:p w:rsidR="002D1F16" w:rsidRDefault="002D1F16" w:rsidP="002D1F16">
      <w:pPr>
        <w:jc w:val="center"/>
      </w:pPr>
    </w:p>
    <w:p w:rsidR="002D1F16" w:rsidRDefault="002D1F16" w:rsidP="002D1F16">
      <w:pPr>
        <w:jc w:val="center"/>
      </w:pPr>
    </w:p>
    <w:p w:rsidR="002D1F16" w:rsidRDefault="002D1F16" w:rsidP="002D1F16">
      <w:pPr>
        <w:jc w:val="center"/>
      </w:pPr>
    </w:p>
    <w:p w:rsidR="002D1F16" w:rsidRDefault="002D1F16" w:rsidP="002D1F16">
      <w:pPr>
        <w:jc w:val="center"/>
      </w:pPr>
    </w:p>
    <w:p w:rsidR="002D1F16" w:rsidRDefault="002D1F16" w:rsidP="002D1F16">
      <w:pPr>
        <w:jc w:val="center"/>
      </w:pPr>
    </w:p>
    <w:p w:rsidR="001A1350" w:rsidRDefault="002D1F16" w:rsidP="002D1F16">
      <w:pPr>
        <w:jc w:val="center"/>
      </w:pPr>
      <w:bookmarkStart w:id="0" w:name="_GoBack"/>
      <w:r>
        <w:t>Case Study Essay</w:t>
      </w:r>
    </w:p>
    <w:bookmarkEnd w:id="0"/>
    <w:p w:rsidR="001A1350" w:rsidRDefault="002D1F16" w:rsidP="002D1F16">
      <w:pPr>
        <w:jc w:val="center"/>
      </w:pPr>
      <w:r>
        <w:t>Student’s Name</w:t>
      </w:r>
    </w:p>
    <w:p w:rsidR="001A1350" w:rsidRDefault="002D1F16" w:rsidP="002D1F16">
      <w:pPr>
        <w:jc w:val="center"/>
      </w:pPr>
      <w:r>
        <w:t>Institution</w:t>
      </w:r>
    </w:p>
    <w:p w:rsidR="002D1F16" w:rsidRDefault="002D1F16" w:rsidP="002D1F16">
      <w:pPr>
        <w:jc w:val="center"/>
      </w:pPr>
      <w:r>
        <w:t>Date</w:t>
      </w:r>
    </w:p>
    <w:p w:rsidR="002D1F16" w:rsidRDefault="002D1F16">
      <w:pPr>
        <w:spacing w:after="160" w:line="259" w:lineRule="auto"/>
      </w:pPr>
      <w:r>
        <w:br w:type="page"/>
      </w:r>
    </w:p>
    <w:p w:rsidR="001A1350" w:rsidRDefault="002D1F16" w:rsidP="002D1F16">
      <w:pPr>
        <w:jc w:val="center"/>
      </w:pPr>
      <w:r>
        <w:lastRenderedPageBreak/>
        <w:t>Case Study Essay</w:t>
      </w:r>
    </w:p>
    <w:p w:rsidR="002D1F16" w:rsidRDefault="002D1F16" w:rsidP="002D1F16">
      <w:pPr>
        <w:jc w:val="center"/>
      </w:pPr>
      <w:r>
        <w:t>Introduction</w:t>
      </w:r>
    </w:p>
    <w:p w:rsidR="002D1F16" w:rsidRDefault="002D1F16" w:rsidP="002D1F16">
      <w:r>
        <w:t xml:space="preserve">           In the world today, cryptocurrencies are considered essential technology innovations that enable people and institutions to have faster access to financial products and services cost-effectively. This has s</w:t>
      </w:r>
      <w:r w:rsidR="0093620A">
        <w:t xml:space="preserve">een the business of </w:t>
      </w:r>
      <w:r>
        <w:t>cryptoc</w:t>
      </w:r>
      <w:r w:rsidR="0093620A">
        <w:t>urrency</w:t>
      </w:r>
      <w:r>
        <w:t xml:space="preserve"> gain global acclamation as a suitable form of acquiring money readily. Saudi Arabia is one country that has significantly embraced the business of cryptocurrency. However, cryptocurrency is likely to give a foothold to various organized crimes such as money laundering, terrorist financing as well as corruption. The paper seeks to demystify the likelihood of organized crime using cryptocurrency to launder money in Saudi Arabia and create a plan for the Ministry of Interior that helps to prevent, mitigate, and respond to the issue.</w:t>
      </w:r>
    </w:p>
    <w:p w:rsidR="002D1F16" w:rsidRPr="00294168" w:rsidRDefault="002D1F16" w:rsidP="002D1F16">
      <w:pPr>
        <w:rPr>
          <w:b/>
        </w:rPr>
      </w:pPr>
      <w:r w:rsidRPr="00294168">
        <w:rPr>
          <w:b/>
        </w:rPr>
        <w:t>Definition</w:t>
      </w:r>
    </w:p>
    <w:p w:rsidR="002D1F16" w:rsidRDefault="002D1F16" w:rsidP="002D1F16">
      <w:r>
        <w:t xml:space="preserve">           Saudi Arabia is turning to cryptocurrency since the business has various benefits. For instance, it is cost-effective and boosts efficiency as transactions can be implemented without the requirement for intermediaries like financial institutions. Nevertheless, the technology is marred with suspicious dealings of criminal activities. For instance, cryptocurrencies are utilized as a tool for financial crimes in the form of money laundering</w:t>
      </w:r>
      <w:r w:rsidRPr="008F0ACC">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A</w:t>
      </w:r>
      <w:r w:rsidRPr="008F0ACC">
        <w:rPr>
          <w:rFonts w:eastAsia="Times New Roman" w:cs="Times New Roman"/>
          <w:szCs w:val="24"/>
        </w:rPr>
        <w:t>bdeldayem</w:t>
      </w:r>
      <w:proofErr w:type="spellEnd"/>
      <w:r>
        <w:rPr>
          <w:rFonts w:eastAsia="Times New Roman" w:cs="Times New Roman"/>
          <w:szCs w:val="24"/>
        </w:rPr>
        <w:t>,</w:t>
      </w:r>
      <w:r w:rsidRPr="008F0ACC">
        <w:rPr>
          <w:rFonts w:eastAsia="Times New Roman" w:cs="Times New Roman"/>
          <w:szCs w:val="24"/>
        </w:rPr>
        <w:t xml:space="preserve"> AL </w:t>
      </w:r>
      <w:proofErr w:type="spellStart"/>
      <w:r w:rsidRPr="008F0ACC">
        <w:rPr>
          <w:rFonts w:eastAsia="Times New Roman" w:cs="Times New Roman"/>
          <w:szCs w:val="24"/>
        </w:rPr>
        <w:t>Dulai</w:t>
      </w:r>
      <w:r>
        <w:rPr>
          <w:rFonts w:eastAsia="Times New Roman" w:cs="Times New Roman"/>
          <w:szCs w:val="24"/>
        </w:rPr>
        <w:t>mi</w:t>
      </w:r>
      <w:proofErr w:type="spellEnd"/>
      <w:r>
        <w:rPr>
          <w:rFonts w:eastAsia="Times New Roman" w:cs="Times New Roman"/>
          <w:szCs w:val="24"/>
        </w:rPr>
        <w:t xml:space="preserve">, &amp; </w:t>
      </w:r>
      <w:proofErr w:type="spellStart"/>
      <w:r>
        <w:rPr>
          <w:rFonts w:eastAsia="Times New Roman" w:cs="Times New Roman"/>
          <w:szCs w:val="24"/>
        </w:rPr>
        <w:t>Nekhili</w:t>
      </w:r>
      <w:proofErr w:type="spellEnd"/>
      <w:r>
        <w:rPr>
          <w:rFonts w:eastAsia="Times New Roman" w:cs="Times New Roman"/>
          <w:szCs w:val="24"/>
        </w:rPr>
        <w:t>, 2020)</w:t>
      </w:r>
      <w:r>
        <w:t>. Since cryptocurrency is legal in Saudi Arabia, criminals can ensure that illicit funds are introduced into the country’s financial system via intermediaries like banks and other financial institutions. This can be executed through online cryptocurrency exchanges. Typically, criminals may use exchanges that have less levels of compliance with AML regulations for the drive. The figure below shows various Bitcoin ATMs in Saudi Arabia.</w:t>
      </w:r>
    </w:p>
    <w:p w:rsidR="002D1F16" w:rsidRDefault="002D1F16" w:rsidP="002D1F16">
      <w:r>
        <w:rPr>
          <w:noProof/>
        </w:rPr>
        <w:lastRenderedPageBreak/>
        <w:drawing>
          <wp:inline distT="0" distB="0" distL="0" distR="0" wp14:anchorId="55A5F023" wp14:editId="59FA633A">
            <wp:extent cx="5362575" cy="3076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62575" cy="3076575"/>
                    </a:xfrm>
                    <a:prstGeom prst="rect">
                      <a:avLst/>
                    </a:prstGeom>
                  </pic:spPr>
                </pic:pic>
              </a:graphicData>
            </a:graphic>
          </wp:inline>
        </w:drawing>
      </w:r>
    </w:p>
    <w:p w:rsidR="002D1F16" w:rsidRPr="00294168" w:rsidRDefault="002D1F16" w:rsidP="002D1F16">
      <w:pPr>
        <w:rPr>
          <w:b/>
        </w:rPr>
      </w:pPr>
      <w:r w:rsidRPr="00294168">
        <w:rPr>
          <w:b/>
        </w:rPr>
        <w:t>Innovation</w:t>
      </w:r>
    </w:p>
    <w:p w:rsidR="002D1F16" w:rsidRDefault="002D1F16" w:rsidP="002D1F16">
      <w:r>
        <w:t xml:space="preserve">           With the likelihood of organized crime using cryptocurrency to launder money in Saudi Arabia being high, it is prudent to develop a plan that will help prevent, mitigate and respond to the threat.</w:t>
      </w:r>
    </w:p>
    <w:p w:rsidR="002D1F16" w:rsidRDefault="002D1F16" w:rsidP="00294168">
      <w:pPr>
        <w:pStyle w:val="ListParagraph"/>
        <w:numPr>
          <w:ilvl w:val="0"/>
          <w:numId w:val="3"/>
        </w:numPr>
      </w:pPr>
      <w:r>
        <w:t>Prevention</w:t>
      </w:r>
    </w:p>
    <w:p w:rsidR="002D1F16" w:rsidRDefault="002D1F16" w:rsidP="002D1F16">
      <w:pPr>
        <w:ind w:firstLine="720"/>
      </w:pPr>
      <w:r>
        <w:t>The Saudi Arabian Monetary Agency (SAMA) should develop frameworks that increase financial compliance. Saudi Arabia has no defined set of regulations restricting people purchasing or spending bitcoins. This may make it possible for criminals to engage in the business of exchanging illegal funds via an online currency exchange. Thus when SAMA has enforced a framework such as AML, it will be possible to identify those who contravene the rules of cryptocurrency by participating in money laundering.</w:t>
      </w:r>
    </w:p>
    <w:p w:rsidR="002D1F16" w:rsidRDefault="002D1F16" w:rsidP="00294168">
      <w:pPr>
        <w:pStyle w:val="ListParagraph"/>
        <w:numPr>
          <w:ilvl w:val="0"/>
          <w:numId w:val="3"/>
        </w:numPr>
      </w:pPr>
      <w:r>
        <w:t>Mitigation</w:t>
      </w:r>
    </w:p>
    <w:p w:rsidR="002D1F16" w:rsidRDefault="002D1F16" w:rsidP="002D1F16">
      <w:pPr>
        <w:ind w:firstLine="720"/>
      </w:pPr>
      <w:r>
        <w:lastRenderedPageBreak/>
        <w:t>The plan will illuminate possible ways to reduce the vulnerability of money laundering in Saudi Arabia. One of the most common ways is through the adoption of a block-chain technology that records the information of people purchasing and lending money to others through online cryptocurrency exchanges</w:t>
      </w:r>
      <w:r w:rsidRPr="00AF2595">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Teichmann</w:t>
      </w:r>
      <w:proofErr w:type="spellEnd"/>
      <w:r>
        <w:rPr>
          <w:rFonts w:eastAsia="Times New Roman" w:cs="Times New Roman"/>
          <w:szCs w:val="24"/>
        </w:rPr>
        <w:t xml:space="preserve">, &amp; </w:t>
      </w:r>
      <w:proofErr w:type="spellStart"/>
      <w:r>
        <w:rPr>
          <w:rFonts w:eastAsia="Times New Roman" w:cs="Times New Roman"/>
          <w:szCs w:val="24"/>
        </w:rPr>
        <w:t>Falker</w:t>
      </w:r>
      <w:proofErr w:type="spellEnd"/>
      <w:r>
        <w:rPr>
          <w:rFonts w:eastAsia="Times New Roman" w:cs="Times New Roman"/>
          <w:szCs w:val="24"/>
        </w:rPr>
        <w:t xml:space="preserve">, </w:t>
      </w:r>
      <w:r w:rsidRPr="008F0ACC">
        <w:rPr>
          <w:rFonts w:eastAsia="Times New Roman" w:cs="Times New Roman"/>
          <w:szCs w:val="24"/>
        </w:rPr>
        <w:t>2020</w:t>
      </w:r>
      <w:r>
        <w:rPr>
          <w:rFonts w:eastAsia="Times New Roman" w:cs="Times New Roman"/>
          <w:szCs w:val="24"/>
        </w:rPr>
        <w:t>)</w:t>
      </w:r>
      <w:r>
        <w:t>.</w:t>
      </w:r>
    </w:p>
    <w:p w:rsidR="002D1F16" w:rsidRDefault="002D1F16" w:rsidP="00294168">
      <w:pPr>
        <w:pStyle w:val="ListParagraph"/>
        <w:numPr>
          <w:ilvl w:val="0"/>
          <w:numId w:val="3"/>
        </w:numPr>
      </w:pPr>
      <w:r>
        <w:t>Response</w:t>
      </w:r>
    </w:p>
    <w:p w:rsidR="002D1F16" w:rsidRDefault="002D1F16" w:rsidP="002D1F16">
      <w:pPr>
        <w:ind w:firstLine="720"/>
      </w:pPr>
      <w:r>
        <w:t>The plan discourse the steps that the Ministry of Interior should use when money laundering is likely to take place. For example, it can adopt the “know your customer” policy that facilitates the identification of different customers of intermediaries such as banks and other financial institutions.</w:t>
      </w:r>
    </w:p>
    <w:p w:rsidR="002D1F16" w:rsidRPr="00294168" w:rsidRDefault="002D1F16" w:rsidP="002D1F16">
      <w:pPr>
        <w:rPr>
          <w:b/>
        </w:rPr>
      </w:pPr>
      <w:r w:rsidRPr="00294168">
        <w:rPr>
          <w:b/>
        </w:rPr>
        <w:t>Application</w:t>
      </w:r>
    </w:p>
    <w:p w:rsidR="002D1F16" w:rsidRDefault="002D1F16" w:rsidP="002D1F16">
      <w:r>
        <w:t xml:space="preserve">           In this section, the ethical and legal concerns that should be taken into account in every part of the proposed plan are addressed.</w:t>
      </w:r>
    </w:p>
    <w:p w:rsidR="002D1F16" w:rsidRDefault="002D1F16" w:rsidP="00294168">
      <w:pPr>
        <w:pStyle w:val="ListParagraph"/>
        <w:numPr>
          <w:ilvl w:val="0"/>
          <w:numId w:val="4"/>
        </w:numPr>
      </w:pPr>
      <w:r>
        <w:t>Prevention</w:t>
      </w:r>
    </w:p>
    <w:p w:rsidR="002D1F16" w:rsidRDefault="002D1F16" w:rsidP="002D1F16">
      <w:r>
        <w:t xml:space="preserve">           The frameworks that will be introduced by the Saudi Arabian Monetary Agency (SAMA) such as Anti-Monetary Lensing protocols should ensure that the privacy of customers is not infringed.</w:t>
      </w:r>
    </w:p>
    <w:p w:rsidR="002D1F16" w:rsidRDefault="002D1F16" w:rsidP="00294168">
      <w:pPr>
        <w:pStyle w:val="ListParagraph"/>
        <w:numPr>
          <w:ilvl w:val="0"/>
          <w:numId w:val="4"/>
        </w:numPr>
      </w:pPr>
      <w:r>
        <w:t>Mitigation</w:t>
      </w:r>
    </w:p>
    <w:p w:rsidR="002D1F16" w:rsidRDefault="002D1F16" w:rsidP="002D1F16">
      <w:pPr>
        <w:ind w:firstLine="720"/>
      </w:pPr>
      <w:r>
        <w:t xml:space="preserve">The development of application of block-chain technology leads to various ethical considerations such as meeting expectations – security, privacy, integrity along with efficiency – as well as the requirement to avert the unintentional facilitation of unacceptable conduct like </w:t>
      </w:r>
      <w:r>
        <w:lastRenderedPageBreak/>
        <w:t>crime. Thus when developing a block-chain technology to mitigate money laundering through cryptocurrency, the MOI should make sure that the ethical issues have to be regarded.</w:t>
      </w:r>
    </w:p>
    <w:p w:rsidR="002D1F16" w:rsidRDefault="002D1F16" w:rsidP="00294168">
      <w:pPr>
        <w:pStyle w:val="ListParagraph"/>
        <w:numPr>
          <w:ilvl w:val="0"/>
          <w:numId w:val="4"/>
        </w:numPr>
      </w:pPr>
      <w:r>
        <w:t>Response</w:t>
      </w:r>
    </w:p>
    <w:p w:rsidR="002D1F16" w:rsidRDefault="002D1F16" w:rsidP="002D1F16">
      <w:pPr>
        <w:ind w:firstLine="720"/>
      </w:pPr>
      <w:r>
        <w:t>The adoption of the “know your customer: policy should be done with the primary motive of ensuring that people engaging in various transactions such as purchasing and lending money are known to potential sellers and buyers on online cryptocurrency exchanges. This will help identify people who engage in the exchange of illicit funds.</w:t>
      </w:r>
    </w:p>
    <w:p w:rsidR="002D1F16" w:rsidRPr="00294168" w:rsidRDefault="002D1F16" w:rsidP="002D1F16">
      <w:pPr>
        <w:rPr>
          <w:b/>
        </w:rPr>
      </w:pPr>
      <w:r w:rsidRPr="00294168">
        <w:rPr>
          <w:b/>
        </w:rPr>
        <w:t>Justification</w:t>
      </w:r>
    </w:p>
    <w:p w:rsidR="002D1F16" w:rsidRDefault="002D1F16" w:rsidP="002D1F16">
      <w:r>
        <w:t xml:space="preserve">           In this section, various contingencies of the proposed plan are discussed.</w:t>
      </w:r>
    </w:p>
    <w:p w:rsidR="002D1F16" w:rsidRDefault="002D1F16" w:rsidP="00294168">
      <w:pPr>
        <w:pStyle w:val="ListParagraph"/>
        <w:numPr>
          <w:ilvl w:val="0"/>
          <w:numId w:val="5"/>
        </w:numPr>
      </w:pPr>
      <w:r>
        <w:t>Prevention</w:t>
      </w:r>
    </w:p>
    <w:p w:rsidR="002D1F16" w:rsidRDefault="002D1F16" w:rsidP="002D1F16">
      <w:r>
        <w:t xml:space="preserve">           Anti-money laundering directives are significantly crucial in forestalling the practice of exchanging illicit funds through online cryptocurrency exchanges</w:t>
      </w:r>
      <w:r w:rsidRPr="00F96262">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Adiyatma</w:t>
      </w:r>
      <w:proofErr w:type="spellEnd"/>
      <w:r>
        <w:rPr>
          <w:rFonts w:eastAsia="Times New Roman" w:cs="Times New Roman"/>
          <w:szCs w:val="24"/>
        </w:rPr>
        <w:t>, &amp; Maharani, 2020)</w:t>
      </w:r>
      <w:r>
        <w:t>. However, when AML protocol is not properly executed by the responsible personnel, the fundamental purpose of the framework may be compromised. Hence the Ministry of Interior needs to ensure that AML directives are adopted and executed as required.</w:t>
      </w:r>
    </w:p>
    <w:p w:rsidR="002D1F16" w:rsidRDefault="002D1F16" w:rsidP="00294168">
      <w:pPr>
        <w:pStyle w:val="ListParagraph"/>
        <w:numPr>
          <w:ilvl w:val="0"/>
          <w:numId w:val="5"/>
        </w:numPr>
      </w:pPr>
      <w:r>
        <w:t>Mitigation</w:t>
      </w:r>
    </w:p>
    <w:p w:rsidR="002D1F16" w:rsidRDefault="002D1F16" w:rsidP="002D1F16">
      <w:pPr>
        <w:ind w:firstLine="720"/>
      </w:pPr>
      <w:r>
        <w:t>Block-chain technology is remarkably significant in ensuring that customers participating in the sale and purchase of financial products and services via online cryptocurrency exchanges</w:t>
      </w:r>
      <w:r w:rsidRPr="00872578">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Vivekanadam</w:t>
      </w:r>
      <w:proofErr w:type="spellEnd"/>
      <w:r>
        <w:rPr>
          <w:rFonts w:eastAsia="Times New Roman" w:cs="Times New Roman"/>
          <w:szCs w:val="24"/>
        </w:rPr>
        <w:t>, 2020)</w:t>
      </w:r>
      <w:r>
        <w:t>. Alternatively, the Ministry of Interior can fight the crime of money laundering by encryption technology. This technology is important in enabling better levels of security of the parties involved and financial transactions they take part in.</w:t>
      </w:r>
    </w:p>
    <w:p w:rsidR="002D1F16" w:rsidRDefault="002D1F16" w:rsidP="00294168">
      <w:pPr>
        <w:pStyle w:val="ListParagraph"/>
        <w:numPr>
          <w:ilvl w:val="0"/>
          <w:numId w:val="5"/>
        </w:numPr>
      </w:pPr>
      <w:r>
        <w:lastRenderedPageBreak/>
        <w:t>Response</w:t>
      </w:r>
    </w:p>
    <w:p w:rsidR="002D1F16" w:rsidRDefault="002D1F16" w:rsidP="002D1F16">
      <w:pPr>
        <w:ind w:firstLine="720"/>
      </w:pPr>
      <w:r>
        <w:t>Even though the “know your customer” policy is an effective way for customers to know one another before engaging in financial transactions, it may be marred with infringement of customers’ privacy.  Thus the MOI can mitigate this problem by ensuring that data for the customers are safeguarded and safely secured to prevent pilferage of their data.</w:t>
      </w:r>
    </w:p>
    <w:p w:rsidR="002D1F16" w:rsidRDefault="002D1F16" w:rsidP="002D1F16">
      <w:r>
        <w:t>Conclusion</w:t>
      </w:r>
    </w:p>
    <w:p w:rsidR="002D1F16" w:rsidRDefault="002D1F16" w:rsidP="002D1F16">
      <w:r>
        <w:t xml:space="preserve">           The plan recognizes the consequences of organized crime that can arise when using cryptocurrency like money laundering in Saudi Arabia. Therefore, it meticulously highlights various steps that can be utilized by the Ministry of Interior to forestall the potential threat. The fundamental objective of the plan is to ensure that customers who engage in financial transactions via online cryptocurrency exchanges do not take part in the exchange of illicit funds.  </w:t>
      </w:r>
    </w:p>
    <w:p w:rsidR="00E71D87" w:rsidRDefault="00E71D87" w:rsidP="002D1F16">
      <w:pPr>
        <w:jc w:val="center"/>
      </w:pPr>
    </w:p>
    <w:p w:rsidR="00E71D87" w:rsidRDefault="00E71D87" w:rsidP="002D1F16">
      <w:pPr>
        <w:jc w:val="center"/>
      </w:pPr>
    </w:p>
    <w:p w:rsidR="00E71D87" w:rsidRDefault="00E71D87" w:rsidP="002D1F16">
      <w:pPr>
        <w:jc w:val="center"/>
      </w:pPr>
    </w:p>
    <w:p w:rsidR="00E71D87" w:rsidRDefault="00E71D87" w:rsidP="002D1F16">
      <w:pPr>
        <w:jc w:val="center"/>
      </w:pPr>
    </w:p>
    <w:p w:rsidR="00E71D87" w:rsidRDefault="00E71D87" w:rsidP="002D1F16">
      <w:pPr>
        <w:jc w:val="center"/>
      </w:pPr>
    </w:p>
    <w:p w:rsidR="00E71D87" w:rsidRDefault="00E71D87" w:rsidP="002D1F16">
      <w:pPr>
        <w:jc w:val="center"/>
      </w:pPr>
    </w:p>
    <w:p w:rsidR="002D1F16" w:rsidRDefault="002D1F16" w:rsidP="002D1F16">
      <w:pPr>
        <w:jc w:val="center"/>
      </w:pPr>
      <w:r>
        <w:t>References</w:t>
      </w:r>
    </w:p>
    <w:p w:rsidR="002D1F16" w:rsidRPr="008F0ACC" w:rsidRDefault="002D1F16" w:rsidP="002D1F16">
      <w:pPr>
        <w:spacing w:after="0"/>
        <w:ind w:left="720" w:hanging="720"/>
        <w:rPr>
          <w:rFonts w:eastAsia="Times New Roman" w:cs="Times New Roman"/>
          <w:szCs w:val="24"/>
        </w:rPr>
      </w:pPr>
      <w:r w:rsidRPr="008F0ACC">
        <w:rPr>
          <w:rFonts w:eastAsia="Times New Roman" w:cs="Times New Roman"/>
          <w:szCs w:val="24"/>
        </w:rPr>
        <w:lastRenderedPageBreak/>
        <w:t xml:space="preserve">ABDELDAYEM, M. M., AL DULAIMI, S. H., &amp; NEKHILI, R. (2020). Cryptocurrency as a Fin Tech instrument and </w:t>
      </w:r>
      <w:proofErr w:type="spellStart"/>
      <w:r w:rsidRPr="008F0ACC">
        <w:rPr>
          <w:rFonts w:eastAsia="Times New Roman" w:cs="Times New Roman"/>
          <w:szCs w:val="24"/>
        </w:rPr>
        <w:t>islamic</w:t>
      </w:r>
      <w:proofErr w:type="spellEnd"/>
      <w:r w:rsidRPr="008F0ACC">
        <w:rPr>
          <w:rFonts w:eastAsia="Times New Roman" w:cs="Times New Roman"/>
          <w:szCs w:val="24"/>
        </w:rPr>
        <w:t xml:space="preserve"> finance: The GCC perspective. </w:t>
      </w:r>
      <w:r w:rsidRPr="008F0ACC">
        <w:rPr>
          <w:rFonts w:eastAsia="Times New Roman" w:cs="Times New Roman"/>
          <w:i/>
          <w:iCs/>
          <w:szCs w:val="24"/>
        </w:rPr>
        <w:t>Journal of Xi'an University of Architecture &amp; Technology</w:t>
      </w:r>
      <w:r w:rsidRPr="008F0ACC">
        <w:rPr>
          <w:rFonts w:eastAsia="Times New Roman" w:cs="Times New Roman"/>
          <w:szCs w:val="24"/>
        </w:rPr>
        <w:t xml:space="preserve">, </w:t>
      </w:r>
      <w:r w:rsidRPr="008F0ACC">
        <w:rPr>
          <w:rFonts w:eastAsia="Times New Roman" w:cs="Times New Roman"/>
          <w:i/>
          <w:iCs/>
          <w:szCs w:val="24"/>
        </w:rPr>
        <w:t>12</w:t>
      </w:r>
      <w:r w:rsidRPr="008F0ACC">
        <w:rPr>
          <w:rFonts w:eastAsia="Times New Roman" w:cs="Times New Roman"/>
          <w:szCs w:val="24"/>
        </w:rPr>
        <w:t>(2), 27362747.</w:t>
      </w:r>
    </w:p>
    <w:p w:rsidR="002D1F16" w:rsidRPr="008F0ACC" w:rsidRDefault="002D1F16" w:rsidP="002D1F16">
      <w:pPr>
        <w:spacing w:after="0"/>
        <w:ind w:left="720" w:hanging="720"/>
        <w:rPr>
          <w:rFonts w:eastAsia="Times New Roman" w:cs="Times New Roman"/>
          <w:szCs w:val="24"/>
        </w:rPr>
      </w:pPr>
      <w:proofErr w:type="spellStart"/>
      <w:r w:rsidRPr="008F0ACC">
        <w:rPr>
          <w:rFonts w:eastAsia="Times New Roman" w:cs="Times New Roman"/>
          <w:szCs w:val="24"/>
        </w:rPr>
        <w:t>Adiyatma</w:t>
      </w:r>
      <w:proofErr w:type="spellEnd"/>
      <w:r w:rsidRPr="008F0ACC">
        <w:rPr>
          <w:rFonts w:eastAsia="Times New Roman" w:cs="Times New Roman"/>
          <w:szCs w:val="24"/>
        </w:rPr>
        <w:t xml:space="preserve">, S. E., &amp; Maharani, D. F. (2020). Cryptocurrency’s Control in the Misuse of Money Laundering Acts as an Effort to Maintain the Resilience and Security of the State. </w:t>
      </w:r>
      <w:r w:rsidRPr="008F0ACC">
        <w:rPr>
          <w:rFonts w:eastAsia="Times New Roman" w:cs="Times New Roman"/>
          <w:i/>
          <w:iCs/>
          <w:szCs w:val="24"/>
        </w:rPr>
        <w:t>Lex Scientia Law Review</w:t>
      </w:r>
      <w:r w:rsidRPr="008F0ACC">
        <w:rPr>
          <w:rFonts w:eastAsia="Times New Roman" w:cs="Times New Roman"/>
          <w:szCs w:val="24"/>
        </w:rPr>
        <w:t xml:space="preserve">, </w:t>
      </w:r>
      <w:r w:rsidRPr="008F0ACC">
        <w:rPr>
          <w:rFonts w:eastAsia="Times New Roman" w:cs="Times New Roman"/>
          <w:i/>
          <w:iCs/>
          <w:szCs w:val="24"/>
        </w:rPr>
        <w:t>4</w:t>
      </w:r>
      <w:r w:rsidRPr="008F0ACC">
        <w:rPr>
          <w:rFonts w:eastAsia="Times New Roman" w:cs="Times New Roman"/>
          <w:szCs w:val="24"/>
        </w:rPr>
        <w:t>(1), 70-82.</w:t>
      </w:r>
    </w:p>
    <w:p w:rsidR="002D1F16" w:rsidRPr="008F0ACC" w:rsidRDefault="002D1F16" w:rsidP="002D1F16">
      <w:pPr>
        <w:spacing w:after="0"/>
        <w:ind w:left="720" w:hanging="720"/>
        <w:rPr>
          <w:rFonts w:eastAsia="Times New Roman" w:cs="Times New Roman"/>
          <w:szCs w:val="24"/>
        </w:rPr>
      </w:pPr>
      <w:proofErr w:type="spellStart"/>
      <w:r w:rsidRPr="008F0ACC">
        <w:rPr>
          <w:rFonts w:eastAsia="Times New Roman" w:cs="Times New Roman"/>
          <w:szCs w:val="24"/>
        </w:rPr>
        <w:t>Teichmann</w:t>
      </w:r>
      <w:proofErr w:type="spellEnd"/>
      <w:r w:rsidRPr="008F0ACC">
        <w:rPr>
          <w:rFonts w:eastAsia="Times New Roman" w:cs="Times New Roman"/>
          <w:szCs w:val="24"/>
        </w:rPr>
        <w:t xml:space="preserve">, F., &amp; </w:t>
      </w:r>
      <w:proofErr w:type="spellStart"/>
      <w:r w:rsidRPr="008F0ACC">
        <w:rPr>
          <w:rFonts w:eastAsia="Times New Roman" w:cs="Times New Roman"/>
          <w:szCs w:val="24"/>
        </w:rPr>
        <w:t>Falker</w:t>
      </w:r>
      <w:proofErr w:type="spellEnd"/>
      <w:r w:rsidRPr="008F0ACC">
        <w:rPr>
          <w:rFonts w:eastAsia="Times New Roman" w:cs="Times New Roman"/>
          <w:szCs w:val="24"/>
        </w:rPr>
        <w:t xml:space="preserve">, M. C. (2020, March). Money laundering through cryptocurrencies. In </w:t>
      </w:r>
      <w:r w:rsidRPr="008F0ACC">
        <w:rPr>
          <w:rFonts w:eastAsia="Times New Roman" w:cs="Times New Roman"/>
          <w:i/>
          <w:iCs/>
          <w:szCs w:val="24"/>
        </w:rPr>
        <w:t>13th International Scientific and Practical Conference-Artificial Intelligence Anthropogenic nature Vs. Social Origin</w:t>
      </w:r>
      <w:r w:rsidRPr="008F0ACC">
        <w:rPr>
          <w:rFonts w:eastAsia="Times New Roman" w:cs="Times New Roman"/>
          <w:szCs w:val="24"/>
        </w:rPr>
        <w:t xml:space="preserve"> (pp. 500-511). Springer, Cham.</w:t>
      </w:r>
    </w:p>
    <w:p w:rsidR="001A1350" w:rsidRPr="00D719B9" w:rsidRDefault="002D1F16" w:rsidP="002D1F16">
      <w:pPr>
        <w:spacing w:after="0"/>
        <w:ind w:left="720" w:hanging="720"/>
        <w:rPr>
          <w:rFonts w:eastAsia="Times New Roman" w:cs="Times New Roman"/>
          <w:szCs w:val="24"/>
        </w:rPr>
      </w:pPr>
      <w:proofErr w:type="spellStart"/>
      <w:r w:rsidRPr="00872578">
        <w:rPr>
          <w:rFonts w:eastAsia="Times New Roman" w:cs="Times New Roman"/>
          <w:szCs w:val="24"/>
        </w:rPr>
        <w:t>Vivekanadam</w:t>
      </w:r>
      <w:proofErr w:type="spellEnd"/>
      <w:r w:rsidRPr="00872578">
        <w:rPr>
          <w:rFonts w:eastAsia="Times New Roman" w:cs="Times New Roman"/>
          <w:szCs w:val="24"/>
        </w:rPr>
        <w:t xml:space="preserve">, B. (2020). Analysis of Recent Trend and Applications in Block Chain Technology. </w:t>
      </w:r>
      <w:r w:rsidRPr="00872578">
        <w:rPr>
          <w:rFonts w:eastAsia="Times New Roman" w:cs="Times New Roman"/>
          <w:i/>
          <w:iCs/>
          <w:szCs w:val="24"/>
        </w:rPr>
        <w:t>Journal of ISMAC</w:t>
      </w:r>
      <w:r w:rsidRPr="00872578">
        <w:rPr>
          <w:rFonts w:eastAsia="Times New Roman" w:cs="Times New Roman"/>
          <w:szCs w:val="24"/>
        </w:rPr>
        <w:t xml:space="preserve">, </w:t>
      </w:r>
      <w:r w:rsidRPr="00872578">
        <w:rPr>
          <w:rFonts w:eastAsia="Times New Roman" w:cs="Times New Roman"/>
          <w:i/>
          <w:iCs/>
          <w:szCs w:val="24"/>
        </w:rPr>
        <w:t>2</w:t>
      </w:r>
      <w:r w:rsidRPr="00872578">
        <w:rPr>
          <w:rFonts w:eastAsia="Times New Roman" w:cs="Times New Roman"/>
          <w:szCs w:val="24"/>
        </w:rPr>
        <w:t>(04), 200-206.</w:t>
      </w:r>
    </w:p>
    <w:p w:rsidR="002D1F16" w:rsidRDefault="002D1F16" w:rsidP="002D1F16">
      <w:pPr>
        <w:jc w:val="center"/>
      </w:pPr>
    </w:p>
    <w:p w:rsidR="001A1350" w:rsidRPr="00D719B9" w:rsidRDefault="001A1350" w:rsidP="002D1F16">
      <w:pPr>
        <w:jc w:val="center"/>
      </w:pPr>
    </w:p>
    <w:sectPr w:rsidR="001A1350" w:rsidRPr="00D719B9" w:rsidSect="002D1F1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01C" w:rsidRDefault="0069701C" w:rsidP="002D1F16">
      <w:pPr>
        <w:spacing w:after="0" w:line="240" w:lineRule="auto"/>
      </w:pPr>
      <w:r>
        <w:separator/>
      </w:r>
    </w:p>
  </w:endnote>
  <w:endnote w:type="continuationSeparator" w:id="0">
    <w:p w:rsidR="0069701C" w:rsidRDefault="0069701C" w:rsidP="002D1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01C" w:rsidRDefault="0069701C" w:rsidP="002D1F16">
      <w:pPr>
        <w:spacing w:after="0" w:line="240" w:lineRule="auto"/>
      </w:pPr>
      <w:r>
        <w:separator/>
      </w:r>
    </w:p>
  </w:footnote>
  <w:footnote w:type="continuationSeparator" w:id="0">
    <w:p w:rsidR="0069701C" w:rsidRDefault="0069701C" w:rsidP="002D1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051694"/>
      <w:docPartObj>
        <w:docPartGallery w:val="Page Numbers (Top of Page)"/>
        <w:docPartUnique/>
      </w:docPartObj>
    </w:sdtPr>
    <w:sdtEndPr>
      <w:rPr>
        <w:noProof/>
      </w:rPr>
    </w:sdtEndPr>
    <w:sdtContent>
      <w:p w:rsidR="002D1F16" w:rsidRDefault="002D1F16">
        <w:pPr>
          <w:pStyle w:val="Header"/>
          <w:jc w:val="right"/>
        </w:pPr>
        <w:r>
          <w:t>CASE STUDY ESSAY</w:t>
        </w:r>
        <w:r>
          <w:tab/>
        </w:r>
        <w:r>
          <w:tab/>
        </w:r>
        <w:r>
          <w:fldChar w:fldCharType="begin"/>
        </w:r>
        <w:r>
          <w:instrText xml:space="preserve"> PAGE   \* MERGEFORMAT </w:instrText>
        </w:r>
        <w:r>
          <w:fldChar w:fldCharType="separate"/>
        </w:r>
        <w:r w:rsidR="00E01E8C">
          <w:rPr>
            <w:noProof/>
          </w:rPr>
          <w:t>7</w:t>
        </w:r>
        <w:r>
          <w:rPr>
            <w:noProof/>
          </w:rPr>
          <w:fldChar w:fldCharType="end"/>
        </w:r>
      </w:p>
    </w:sdtContent>
  </w:sdt>
  <w:p w:rsidR="002D1F16" w:rsidRDefault="002D1F1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F16" w:rsidRDefault="002D1F16">
    <w:pPr>
      <w:pStyle w:val="Header"/>
    </w:pPr>
    <w:r>
      <w:t>Running Head: CASE STUDY ESSAY</w:t>
    </w:r>
    <w:r>
      <w:tab/>
    </w:r>
    <w: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A65"/>
    <w:multiLevelType w:val="hybridMultilevel"/>
    <w:tmpl w:val="5B6A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C5785"/>
    <w:multiLevelType w:val="hybridMultilevel"/>
    <w:tmpl w:val="02C83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E26EB"/>
    <w:multiLevelType w:val="hybridMultilevel"/>
    <w:tmpl w:val="FA7297C2"/>
    <w:lvl w:ilvl="0" w:tplc="449466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D205E"/>
    <w:multiLevelType w:val="hybridMultilevel"/>
    <w:tmpl w:val="DEECC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FC1B05"/>
    <w:multiLevelType w:val="hybridMultilevel"/>
    <w:tmpl w:val="92A89A4A"/>
    <w:lvl w:ilvl="0" w:tplc="95764A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25"/>
    <w:rsid w:val="00000A29"/>
    <w:rsid w:val="00020BEE"/>
    <w:rsid w:val="000220BA"/>
    <w:rsid w:val="00031E0F"/>
    <w:rsid w:val="000411C7"/>
    <w:rsid w:val="00044FB5"/>
    <w:rsid w:val="00053C1C"/>
    <w:rsid w:val="00055827"/>
    <w:rsid w:val="00074A21"/>
    <w:rsid w:val="000953DF"/>
    <w:rsid w:val="000A652E"/>
    <w:rsid w:val="000A6B22"/>
    <w:rsid w:val="000C1765"/>
    <w:rsid w:val="000D1577"/>
    <w:rsid w:val="000D2BA0"/>
    <w:rsid w:val="000D4398"/>
    <w:rsid w:val="000D6B7D"/>
    <w:rsid w:val="000E3A73"/>
    <w:rsid w:val="000F6058"/>
    <w:rsid w:val="000F69E9"/>
    <w:rsid w:val="00110BDC"/>
    <w:rsid w:val="001160D4"/>
    <w:rsid w:val="00116F21"/>
    <w:rsid w:val="001334C3"/>
    <w:rsid w:val="00142434"/>
    <w:rsid w:val="001518DD"/>
    <w:rsid w:val="0015463A"/>
    <w:rsid w:val="00164901"/>
    <w:rsid w:val="001767F4"/>
    <w:rsid w:val="00181DAC"/>
    <w:rsid w:val="00185F47"/>
    <w:rsid w:val="00193C35"/>
    <w:rsid w:val="00196918"/>
    <w:rsid w:val="001A1350"/>
    <w:rsid w:val="001B1EAB"/>
    <w:rsid w:val="001C1F8B"/>
    <w:rsid w:val="001D64AA"/>
    <w:rsid w:val="001E3E96"/>
    <w:rsid w:val="001F0A21"/>
    <w:rsid w:val="002019E5"/>
    <w:rsid w:val="0022001D"/>
    <w:rsid w:val="002209A8"/>
    <w:rsid w:val="00225D01"/>
    <w:rsid w:val="00226F79"/>
    <w:rsid w:val="002335E1"/>
    <w:rsid w:val="00241D21"/>
    <w:rsid w:val="0024704A"/>
    <w:rsid w:val="0025211E"/>
    <w:rsid w:val="002568D7"/>
    <w:rsid w:val="00272437"/>
    <w:rsid w:val="00281AE7"/>
    <w:rsid w:val="0029061C"/>
    <w:rsid w:val="00294168"/>
    <w:rsid w:val="00294667"/>
    <w:rsid w:val="00296E91"/>
    <w:rsid w:val="002A32D2"/>
    <w:rsid w:val="002A3AA6"/>
    <w:rsid w:val="002B18A4"/>
    <w:rsid w:val="002B5E50"/>
    <w:rsid w:val="002C09D2"/>
    <w:rsid w:val="002C37FA"/>
    <w:rsid w:val="002C4A43"/>
    <w:rsid w:val="002C505C"/>
    <w:rsid w:val="002D1F16"/>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C4412"/>
    <w:rsid w:val="003E01D4"/>
    <w:rsid w:val="003F4A17"/>
    <w:rsid w:val="003F5365"/>
    <w:rsid w:val="003F6287"/>
    <w:rsid w:val="003F6BAF"/>
    <w:rsid w:val="003F739F"/>
    <w:rsid w:val="00400297"/>
    <w:rsid w:val="00404D9F"/>
    <w:rsid w:val="00404FB4"/>
    <w:rsid w:val="004103B9"/>
    <w:rsid w:val="004132D4"/>
    <w:rsid w:val="0041504E"/>
    <w:rsid w:val="004271B1"/>
    <w:rsid w:val="00431207"/>
    <w:rsid w:val="00437C5B"/>
    <w:rsid w:val="0044015C"/>
    <w:rsid w:val="00460D09"/>
    <w:rsid w:val="00462678"/>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E2166"/>
    <w:rsid w:val="004F14B5"/>
    <w:rsid w:val="004F456E"/>
    <w:rsid w:val="004F77B4"/>
    <w:rsid w:val="004F7993"/>
    <w:rsid w:val="00501D82"/>
    <w:rsid w:val="0051053B"/>
    <w:rsid w:val="00515EFB"/>
    <w:rsid w:val="0052106F"/>
    <w:rsid w:val="0053694E"/>
    <w:rsid w:val="00540DB1"/>
    <w:rsid w:val="005457A3"/>
    <w:rsid w:val="005532E4"/>
    <w:rsid w:val="005544F7"/>
    <w:rsid w:val="005567AB"/>
    <w:rsid w:val="00562E0A"/>
    <w:rsid w:val="00566161"/>
    <w:rsid w:val="00570B70"/>
    <w:rsid w:val="00570D4A"/>
    <w:rsid w:val="00571AE1"/>
    <w:rsid w:val="00573F75"/>
    <w:rsid w:val="005746EF"/>
    <w:rsid w:val="005751B6"/>
    <w:rsid w:val="00575850"/>
    <w:rsid w:val="0058655B"/>
    <w:rsid w:val="00590952"/>
    <w:rsid w:val="00593277"/>
    <w:rsid w:val="00594531"/>
    <w:rsid w:val="00594677"/>
    <w:rsid w:val="005A1414"/>
    <w:rsid w:val="005B2E7A"/>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16A9C"/>
    <w:rsid w:val="006305B0"/>
    <w:rsid w:val="0063293D"/>
    <w:rsid w:val="00633D7D"/>
    <w:rsid w:val="00637283"/>
    <w:rsid w:val="0064231E"/>
    <w:rsid w:val="00647E75"/>
    <w:rsid w:val="00651841"/>
    <w:rsid w:val="0065435B"/>
    <w:rsid w:val="0067062A"/>
    <w:rsid w:val="00670B2C"/>
    <w:rsid w:val="00691AA6"/>
    <w:rsid w:val="00693437"/>
    <w:rsid w:val="0069493A"/>
    <w:rsid w:val="0069701C"/>
    <w:rsid w:val="006B2A05"/>
    <w:rsid w:val="006C3AB1"/>
    <w:rsid w:val="006C3B2C"/>
    <w:rsid w:val="006D3D0E"/>
    <w:rsid w:val="006D7174"/>
    <w:rsid w:val="006E25A2"/>
    <w:rsid w:val="006F0FAA"/>
    <w:rsid w:val="006F2FCD"/>
    <w:rsid w:val="006F3ACB"/>
    <w:rsid w:val="006F3E10"/>
    <w:rsid w:val="006F457F"/>
    <w:rsid w:val="00701082"/>
    <w:rsid w:val="0071058A"/>
    <w:rsid w:val="00714A18"/>
    <w:rsid w:val="0072450A"/>
    <w:rsid w:val="007245B3"/>
    <w:rsid w:val="007247B5"/>
    <w:rsid w:val="00725DDF"/>
    <w:rsid w:val="007367E3"/>
    <w:rsid w:val="00736ED6"/>
    <w:rsid w:val="00737FAD"/>
    <w:rsid w:val="007542B9"/>
    <w:rsid w:val="00755C63"/>
    <w:rsid w:val="007575CB"/>
    <w:rsid w:val="007633F3"/>
    <w:rsid w:val="00767508"/>
    <w:rsid w:val="007678E6"/>
    <w:rsid w:val="007769F6"/>
    <w:rsid w:val="00785B8D"/>
    <w:rsid w:val="00785F7C"/>
    <w:rsid w:val="0079019B"/>
    <w:rsid w:val="007930A0"/>
    <w:rsid w:val="007C34D3"/>
    <w:rsid w:val="007C43FC"/>
    <w:rsid w:val="007C5BE3"/>
    <w:rsid w:val="007D338C"/>
    <w:rsid w:val="007E2109"/>
    <w:rsid w:val="007F51B1"/>
    <w:rsid w:val="008133A8"/>
    <w:rsid w:val="00817E3F"/>
    <w:rsid w:val="008218EC"/>
    <w:rsid w:val="00821BAE"/>
    <w:rsid w:val="00821C78"/>
    <w:rsid w:val="00822D9D"/>
    <w:rsid w:val="00836953"/>
    <w:rsid w:val="00843224"/>
    <w:rsid w:val="00847FF1"/>
    <w:rsid w:val="00850C76"/>
    <w:rsid w:val="008512F2"/>
    <w:rsid w:val="00862C17"/>
    <w:rsid w:val="00864B11"/>
    <w:rsid w:val="00871E6C"/>
    <w:rsid w:val="008722ED"/>
    <w:rsid w:val="00872578"/>
    <w:rsid w:val="00873627"/>
    <w:rsid w:val="00887B79"/>
    <w:rsid w:val="00896D43"/>
    <w:rsid w:val="008979F4"/>
    <w:rsid w:val="008A0815"/>
    <w:rsid w:val="008B0FE3"/>
    <w:rsid w:val="008C37ED"/>
    <w:rsid w:val="008D6B36"/>
    <w:rsid w:val="008E0A3E"/>
    <w:rsid w:val="008E260D"/>
    <w:rsid w:val="008E426A"/>
    <w:rsid w:val="008E580F"/>
    <w:rsid w:val="008E5D30"/>
    <w:rsid w:val="008E77D4"/>
    <w:rsid w:val="008F0ACC"/>
    <w:rsid w:val="0090497A"/>
    <w:rsid w:val="00912648"/>
    <w:rsid w:val="00916812"/>
    <w:rsid w:val="00917F80"/>
    <w:rsid w:val="0093620A"/>
    <w:rsid w:val="009430BB"/>
    <w:rsid w:val="009447B4"/>
    <w:rsid w:val="00945B3E"/>
    <w:rsid w:val="00945C0E"/>
    <w:rsid w:val="00962CD7"/>
    <w:rsid w:val="00966A7D"/>
    <w:rsid w:val="00970D1D"/>
    <w:rsid w:val="00987AF2"/>
    <w:rsid w:val="00993C38"/>
    <w:rsid w:val="0099485F"/>
    <w:rsid w:val="009A1BC2"/>
    <w:rsid w:val="009A313A"/>
    <w:rsid w:val="009B0550"/>
    <w:rsid w:val="009C002D"/>
    <w:rsid w:val="009C02B9"/>
    <w:rsid w:val="009C0545"/>
    <w:rsid w:val="009C164C"/>
    <w:rsid w:val="009C1AA9"/>
    <w:rsid w:val="009C20AE"/>
    <w:rsid w:val="009C29B2"/>
    <w:rsid w:val="009C767E"/>
    <w:rsid w:val="009D3EC6"/>
    <w:rsid w:val="009D7AC9"/>
    <w:rsid w:val="009E51DA"/>
    <w:rsid w:val="009F02BF"/>
    <w:rsid w:val="009F1A8B"/>
    <w:rsid w:val="00A10417"/>
    <w:rsid w:val="00A10676"/>
    <w:rsid w:val="00A209DE"/>
    <w:rsid w:val="00A329B4"/>
    <w:rsid w:val="00A33606"/>
    <w:rsid w:val="00A422B8"/>
    <w:rsid w:val="00A42FD0"/>
    <w:rsid w:val="00A43C3D"/>
    <w:rsid w:val="00A6104C"/>
    <w:rsid w:val="00A80134"/>
    <w:rsid w:val="00A82855"/>
    <w:rsid w:val="00A874FE"/>
    <w:rsid w:val="00AA20D7"/>
    <w:rsid w:val="00AA7C43"/>
    <w:rsid w:val="00AC02B1"/>
    <w:rsid w:val="00AC1DED"/>
    <w:rsid w:val="00AC2271"/>
    <w:rsid w:val="00AC7386"/>
    <w:rsid w:val="00AD22F8"/>
    <w:rsid w:val="00AE6FC0"/>
    <w:rsid w:val="00AF151A"/>
    <w:rsid w:val="00AF2595"/>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C0B91"/>
    <w:rsid w:val="00BC1A19"/>
    <w:rsid w:val="00BD055E"/>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5228"/>
    <w:rsid w:val="00C85373"/>
    <w:rsid w:val="00C97F1D"/>
    <w:rsid w:val="00CA146C"/>
    <w:rsid w:val="00CA22FE"/>
    <w:rsid w:val="00CB1686"/>
    <w:rsid w:val="00CB2AAF"/>
    <w:rsid w:val="00CB3F67"/>
    <w:rsid w:val="00CB692B"/>
    <w:rsid w:val="00CC3381"/>
    <w:rsid w:val="00CD125B"/>
    <w:rsid w:val="00CD3031"/>
    <w:rsid w:val="00CE1A85"/>
    <w:rsid w:val="00CE5337"/>
    <w:rsid w:val="00CE77C8"/>
    <w:rsid w:val="00CE7FA3"/>
    <w:rsid w:val="00CF22EE"/>
    <w:rsid w:val="00CF6915"/>
    <w:rsid w:val="00CF6A2C"/>
    <w:rsid w:val="00CF6F01"/>
    <w:rsid w:val="00D11166"/>
    <w:rsid w:val="00D128B8"/>
    <w:rsid w:val="00D14309"/>
    <w:rsid w:val="00D23CAE"/>
    <w:rsid w:val="00D23EBE"/>
    <w:rsid w:val="00D33DD6"/>
    <w:rsid w:val="00D37CC7"/>
    <w:rsid w:val="00D4456F"/>
    <w:rsid w:val="00D5665F"/>
    <w:rsid w:val="00D67FB0"/>
    <w:rsid w:val="00D7029A"/>
    <w:rsid w:val="00D706DE"/>
    <w:rsid w:val="00D719B9"/>
    <w:rsid w:val="00D74B32"/>
    <w:rsid w:val="00D8198F"/>
    <w:rsid w:val="00D82117"/>
    <w:rsid w:val="00D849C2"/>
    <w:rsid w:val="00DA1724"/>
    <w:rsid w:val="00DA6162"/>
    <w:rsid w:val="00DB040E"/>
    <w:rsid w:val="00DB4E1B"/>
    <w:rsid w:val="00DB63E6"/>
    <w:rsid w:val="00DC141F"/>
    <w:rsid w:val="00DD26FE"/>
    <w:rsid w:val="00DD6996"/>
    <w:rsid w:val="00DF05DC"/>
    <w:rsid w:val="00E01E8C"/>
    <w:rsid w:val="00E02F43"/>
    <w:rsid w:val="00E04B3F"/>
    <w:rsid w:val="00E04F71"/>
    <w:rsid w:val="00E1151D"/>
    <w:rsid w:val="00E25252"/>
    <w:rsid w:val="00E32439"/>
    <w:rsid w:val="00E54F1A"/>
    <w:rsid w:val="00E60ACA"/>
    <w:rsid w:val="00E67863"/>
    <w:rsid w:val="00E71D87"/>
    <w:rsid w:val="00E722CD"/>
    <w:rsid w:val="00E743D0"/>
    <w:rsid w:val="00E87742"/>
    <w:rsid w:val="00EA0925"/>
    <w:rsid w:val="00EA1FA7"/>
    <w:rsid w:val="00EA63AD"/>
    <w:rsid w:val="00EA6953"/>
    <w:rsid w:val="00EB015C"/>
    <w:rsid w:val="00EB01B6"/>
    <w:rsid w:val="00EB40BF"/>
    <w:rsid w:val="00EC7099"/>
    <w:rsid w:val="00EF271A"/>
    <w:rsid w:val="00EF3393"/>
    <w:rsid w:val="00EF6FFE"/>
    <w:rsid w:val="00F00930"/>
    <w:rsid w:val="00F04225"/>
    <w:rsid w:val="00F0564F"/>
    <w:rsid w:val="00F05A45"/>
    <w:rsid w:val="00F063DA"/>
    <w:rsid w:val="00F067EC"/>
    <w:rsid w:val="00F123D8"/>
    <w:rsid w:val="00F13B51"/>
    <w:rsid w:val="00F2078A"/>
    <w:rsid w:val="00F23FCD"/>
    <w:rsid w:val="00F26F23"/>
    <w:rsid w:val="00F34082"/>
    <w:rsid w:val="00F360AB"/>
    <w:rsid w:val="00F4001E"/>
    <w:rsid w:val="00F452D9"/>
    <w:rsid w:val="00F60EFE"/>
    <w:rsid w:val="00F61195"/>
    <w:rsid w:val="00F617A1"/>
    <w:rsid w:val="00F628F1"/>
    <w:rsid w:val="00F62C80"/>
    <w:rsid w:val="00F6476D"/>
    <w:rsid w:val="00F67C2E"/>
    <w:rsid w:val="00F713B6"/>
    <w:rsid w:val="00F723AF"/>
    <w:rsid w:val="00F873A0"/>
    <w:rsid w:val="00F93A7C"/>
    <w:rsid w:val="00F96262"/>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29664-D0F8-47C1-B4DD-ADAC5F6F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ListParagraph">
    <w:name w:val="List Paragraph"/>
    <w:basedOn w:val="Normal"/>
    <w:uiPriority w:val="34"/>
    <w:qFormat/>
    <w:rsid w:val="00CE77C8"/>
    <w:pPr>
      <w:ind w:left="720"/>
      <w:contextualSpacing/>
    </w:pPr>
  </w:style>
  <w:style w:type="paragraph" w:styleId="Header">
    <w:name w:val="header"/>
    <w:basedOn w:val="Normal"/>
    <w:link w:val="HeaderChar"/>
    <w:uiPriority w:val="99"/>
    <w:unhideWhenUsed/>
    <w:rsid w:val="002D1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F16"/>
    <w:rPr>
      <w:rFonts w:ascii="Times New Roman" w:eastAsiaTheme="minorEastAsia" w:hAnsi="Times New Roman"/>
      <w:sz w:val="24"/>
    </w:rPr>
  </w:style>
  <w:style w:type="paragraph" w:styleId="Footer">
    <w:name w:val="footer"/>
    <w:basedOn w:val="Normal"/>
    <w:link w:val="FooterChar"/>
    <w:uiPriority w:val="99"/>
    <w:unhideWhenUsed/>
    <w:rsid w:val="002D1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F16"/>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71051">
      <w:bodyDiv w:val="1"/>
      <w:marLeft w:val="0"/>
      <w:marRight w:val="0"/>
      <w:marTop w:val="0"/>
      <w:marBottom w:val="0"/>
      <w:divBdr>
        <w:top w:val="none" w:sz="0" w:space="0" w:color="auto"/>
        <w:left w:val="none" w:sz="0" w:space="0" w:color="auto"/>
        <w:bottom w:val="none" w:sz="0" w:space="0" w:color="auto"/>
        <w:right w:val="none" w:sz="0" w:space="0" w:color="auto"/>
      </w:divBdr>
      <w:divsChild>
        <w:div w:id="1909724219">
          <w:marLeft w:val="0"/>
          <w:marRight w:val="0"/>
          <w:marTop w:val="0"/>
          <w:marBottom w:val="0"/>
          <w:divBdr>
            <w:top w:val="none" w:sz="0" w:space="0" w:color="auto"/>
            <w:left w:val="none" w:sz="0" w:space="0" w:color="auto"/>
            <w:bottom w:val="none" w:sz="0" w:space="0" w:color="auto"/>
            <w:right w:val="none" w:sz="0" w:space="0" w:color="auto"/>
          </w:divBdr>
        </w:div>
      </w:divsChild>
    </w:div>
    <w:div w:id="928462928">
      <w:bodyDiv w:val="1"/>
      <w:marLeft w:val="0"/>
      <w:marRight w:val="0"/>
      <w:marTop w:val="0"/>
      <w:marBottom w:val="0"/>
      <w:divBdr>
        <w:top w:val="none" w:sz="0" w:space="0" w:color="auto"/>
        <w:left w:val="none" w:sz="0" w:space="0" w:color="auto"/>
        <w:bottom w:val="none" w:sz="0" w:space="0" w:color="auto"/>
        <w:right w:val="none" w:sz="0" w:space="0" w:color="auto"/>
      </w:divBdr>
      <w:divsChild>
        <w:div w:id="1070077785">
          <w:marLeft w:val="0"/>
          <w:marRight w:val="0"/>
          <w:marTop w:val="0"/>
          <w:marBottom w:val="0"/>
          <w:divBdr>
            <w:top w:val="none" w:sz="0" w:space="0" w:color="auto"/>
            <w:left w:val="none" w:sz="0" w:space="0" w:color="auto"/>
            <w:bottom w:val="none" w:sz="0" w:space="0" w:color="auto"/>
            <w:right w:val="none" w:sz="0" w:space="0" w:color="auto"/>
          </w:divBdr>
        </w:div>
      </w:divsChild>
    </w:div>
    <w:div w:id="1365328267">
      <w:bodyDiv w:val="1"/>
      <w:marLeft w:val="0"/>
      <w:marRight w:val="0"/>
      <w:marTop w:val="0"/>
      <w:marBottom w:val="0"/>
      <w:divBdr>
        <w:top w:val="none" w:sz="0" w:space="0" w:color="auto"/>
        <w:left w:val="none" w:sz="0" w:space="0" w:color="auto"/>
        <w:bottom w:val="none" w:sz="0" w:space="0" w:color="auto"/>
        <w:right w:val="none" w:sz="0" w:space="0" w:color="auto"/>
      </w:divBdr>
      <w:divsChild>
        <w:div w:id="1026325034">
          <w:marLeft w:val="0"/>
          <w:marRight w:val="0"/>
          <w:marTop w:val="0"/>
          <w:marBottom w:val="0"/>
          <w:divBdr>
            <w:top w:val="none" w:sz="0" w:space="0" w:color="auto"/>
            <w:left w:val="none" w:sz="0" w:space="0" w:color="auto"/>
            <w:bottom w:val="none" w:sz="0" w:space="0" w:color="auto"/>
            <w:right w:val="none" w:sz="0" w:space="0" w:color="auto"/>
          </w:divBdr>
        </w:div>
      </w:divsChild>
    </w:div>
    <w:div w:id="2127773314">
      <w:bodyDiv w:val="1"/>
      <w:marLeft w:val="0"/>
      <w:marRight w:val="0"/>
      <w:marTop w:val="0"/>
      <w:marBottom w:val="0"/>
      <w:divBdr>
        <w:top w:val="none" w:sz="0" w:space="0" w:color="auto"/>
        <w:left w:val="none" w:sz="0" w:space="0" w:color="auto"/>
        <w:bottom w:val="none" w:sz="0" w:space="0" w:color="auto"/>
        <w:right w:val="none" w:sz="0" w:space="0" w:color="auto"/>
      </w:divBdr>
      <w:divsChild>
        <w:div w:id="1419399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2021-03-28T18:20:00Z</dcterms:created>
  <dcterms:modified xsi:type="dcterms:W3CDTF">2021-03-28T18:20:00Z</dcterms:modified>
</cp:coreProperties>
</file>